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6"/>
        <w:gridCol w:w="6460"/>
      </w:tblGrid>
      <w:tr w:rsidR="00F37F65" w:rsidRPr="00F37F65" w14:paraId="2C754CE1" w14:textId="77777777" w:rsidTr="00F37F65">
        <w:tc>
          <w:tcPr>
            <w:tcW w:w="2556" w:type="dxa"/>
            <w:shd w:val="clear" w:color="auto" w:fill="DEEAF6"/>
            <w:tcMar>
              <w:top w:w="0" w:type="dxa"/>
              <w:left w:w="108" w:type="dxa"/>
              <w:bottom w:w="0" w:type="dxa"/>
              <w:right w:w="108" w:type="dxa"/>
            </w:tcMar>
            <w:hideMark/>
          </w:tcPr>
          <w:p w14:paraId="37A4868F"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t>Study title:</w:t>
            </w:r>
          </w:p>
        </w:tc>
        <w:tc>
          <w:tcPr>
            <w:tcW w:w="6460" w:type="dxa"/>
            <w:tcMar>
              <w:top w:w="0" w:type="dxa"/>
              <w:left w:w="108" w:type="dxa"/>
              <w:bottom w:w="0" w:type="dxa"/>
              <w:right w:w="108" w:type="dxa"/>
            </w:tcMar>
            <w:hideMark/>
          </w:tcPr>
          <w:p w14:paraId="689081A5" w14:textId="61C60EDE" w:rsidR="00F37F65" w:rsidRDefault="00F37F65" w:rsidP="00F37F65">
            <w:pPr>
              <w:rPr>
                <w:rFonts w:asciiTheme="minorHAnsi" w:hAnsiTheme="minorHAnsi" w:cstheme="minorHAnsi"/>
              </w:rPr>
            </w:pPr>
            <w:r w:rsidRPr="00F37F65">
              <w:rPr>
                <w:rFonts w:asciiTheme="minorHAnsi" w:hAnsiTheme="minorHAnsi" w:cstheme="minorHAnsi"/>
                <w:b/>
                <w:bCs/>
              </w:rPr>
              <w:t xml:space="preserve">3i-O </w:t>
            </w:r>
            <w:r w:rsidRPr="00F37F65">
              <w:rPr>
                <w:rFonts w:asciiTheme="minorHAnsi" w:hAnsiTheme="minorHAnsi" w:cstheme="minorHAnsi"/>
              </w:rPr>
              <w:t>(Impact of an Intervention on Inequalities in Overprescribing study [Work Package 1])</w:t>
            </w:r>
          </w:p>
          <w:p w14:paraId="3DCAE9BA" w14:textId="479F9301" w:rsidR="00903BF3" w:rsidRPr="00F37F65" w:rsidRDefault="00903BF3" w:rsidP="00F37F65">
            <w:pPr>
              <w:rPr>
                <w:rFonts w:asciiTheme="minorHAnsi" w:hAnsiTheme="minorHAnsi" w:cstheme="minorHAnsi"/>
              </w:rPr>
            </w:pPr>
            <w:r w:rsidRPr="005C006B">
              <w:rPr>
                <w:rFonts w:asciiTheme="minorHAnsi" w:hAnsiTheme="minorHAnsi" w:cstheme="minorHAnsi"/>
                <w:color w:val="FF0000"/>
              </w:rPr>
              <w:t xml:space="preserve">Please note that this work package 1 will run concurrently with work package 2, which some practices are already participating in.  Practices can be involved in </w:t>
            </w:r>
            <w:r w:rsidR="00DA3328">
              <w:rPr>
                <w:rFonts w:asciiTheme="minorHAnsi" w:hAnsiTheme="minorHAnsi" w:cstheme="minorHAnsi"/>
                <w:color w:val="FF0000"/>
              </w:rPr>
              <w:t xml:space="preserve">either or </w:t>
            </w:r>
            <w:r w:rsidRPr="005C006B">
              <w:rPr>
                <w:rFonts w:asciiTheme="minorHAnsi" w:hAnsiTheme="minorHAnsi" w:cstheme="minorHAnsi"/>
                <w:color w:val="FF0000"/>
              </w:rPr>
              <w:t>both work packages. </w:t>
            </w:r>
          </w:p>
        </w:tc>
      </w:tr>
      <w:tr w:rsidR="00F37F65" w:rsidRPr="00F37F65" w14:paraId="1F03CC35" w14:textId="77777777" w:rsidTr="00F37F65">
        <w:tc>
          <w:tcPr>
            <w:tcW w:w="2556" w:type="dxa"/>
            <w:shd w:val="clear" w:color="auto" w:fill="DEEAF6"/>
            <w:tcMar>
              <w:top w:w="0" w:type="dxa"/>
              <w:left w:w="108" w:type="dxa"/>
              <w:bottom w:w="0" w:type="dxa"/>
              <w:right w:w="108" w:type="dxa"/>
            </w:tcMar>
            <w:hideMark/>
          </w:tcPr>
          <w:p w14:paraId="2B131215"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t>IRAS no.:</w:t>
            </w:r>
          </w:p>
        </w:tc>
        <w:tc>
          <w:tcPr>
            <w:tcW w:w="6460" w:type="dxa"/>
            <w:tcMar>
              <w:top w:w="0" w:type="dxa"/>
              <w:left w:w="108" w:type="dxa"/>
              <w:bottom w:w="0" w:type="dxa"/>
              <w:right w:w="108" w:type="dxa"/>
            </w:tcMar>
            <w:hideMark/>
          </w:tcPr>
          <w:p w14:paraId="15A967E7"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t>344331</w:t>
            </w:r>
          </w:p>
        </w:tc>
      </w:tr>
      <w:tr w:rsidR="00F37F65" w:rsidRPr="00F37F65" w14:paraId="49CD5377" w14:textId="77777777" w:rsidTr="00F37F65">
        <w:tc>
          <w:tcPr>
            <w:tcW w:w="2556" w:type="dxa"/>
            <w:shd w:val="clear" w:color="auto" w:fill="DEEAF6"/>
            <w:tcMar>
              <w:top w:w="0" w:type="dxa"/>
              <w:left w:w="108" w:type="dxa"/>
              <w:bottom w:w="0" w:type="dxa"/>
              <w:right w:w="108" w:type="dxa"/>
            </w:tcMar>
            <w:hideMark/>
          </w:tcPr>
          <w:p w14:paraId="6FBDC513"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t>Study summary:</w:t>
            </w:r>
          </w:p>
        </w:tc>
        <w:tc>
          <w:tcPr>
            <w:tcW w:w="6460" w:type="dxa"/>
            <w:tcMar>
              <w:top w:w="0" w:type="dxa"/>
              <w:left w:w="108" w:type="dxa"/>
              <w:bottom w:w="0" w:type="dxa"/>
              <w:right w:w="108" w:type="dxa"/>
            </w:tcMar>
            <w:hideMark/>
          </w:tcPr>
          <w:p w14:paraId="5E3E501A"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t>Overprescribing is receiving medicines that the patient may not want, may not need or may cause them more harm than benefit. Overprescribing increases the medication burden for patients and risks of adverse effects, hospital admissions and deaths. It wastes medications and increases costs to the NHS and wider society. Reducing overprescribing is part of the NHS Long Term Plan.</w:t>
            </w:r>
          </w:p>
          <w:p w14:paraId="1793EC5C"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t> </w:t>
            </w:r>
          </w:p>
          <w:p w14:paraId="20DF4304"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t>Overprescribing is strongly linked to health inequalities. It especially affects vulnerable people, those from deprived areas and Black and minority ethnic communities. Most NHS prescribing (and therefore overprescribing) happens in general practice. We have previously run feedback campaigns to reduce overprescribing of addictive painkillers or reduce unnecessary antibiotic prescribing in general practice.</w:t>
            </w:r>
          </w:p>
          <w:p w14:paraId="301AAFC5"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t> </w:t>
            </w:r>
          </w:p>
          <w:p w14:paraId="0AD5DEB4"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t>Our previous research has shown that providing performance feedback often works in reducing overprescribing. However, we do not know if it works effectively for all patients or whether it exacerbates or reduces health inequalities. We want to find out if providing feedback interventions or similar interventions to reduce overprescription of addictive painkillers and antibiotics work without making it more difficult for some people to get the health care they need, or whether or they make health inequalities worse or better.</w:t>
            </w:r>
          </w:p>
        </w:tc>
      </w:tr>
      <w:tr w:rsidR="00F37F65" w:rsidRPr="00F37F65" w14:paraId="7F49CB8E" w14:textId="77777777" w:rsidTr="00F37F65">
        <w:tc>
          <w:tcPr>
            <w:tcW w:w="2556" w:type="dxa"/>
            <w:shd w:val="clear" w:color="auto" w:fill="DEEAF6"/>
            <w:tcMar>
              <w:top w:w="0" w:type="dxa"/>
              <w:left w:w="108" w:type="dxa"/>
              <w:bottom w:w="0" w:type="dxa"/>
              <w:right w:w="108" w:type="dxa"/>
            </w:tcMar>
            <w:hideMark/>
          </w:tcPr>
          <w:p w14:paraId="6507DF49"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t>NIHR portfolio study?  Will there be accruals for the practice?</w:t>
            </w:r>
          </w:p>
        </w:tc>
        <w:tc>
          <w:tcPr>
            <w:tcW w:w="6460" w:type="dxa"/>
            <w:tcMar>
              <w:top w:w="0" w:type="dxa"/>
              <w:left w:w="108" w:type="dxa"/>
              <w:bottom w:w="0" w:type="dxa"/>
              <w:right w:w="108" w:type="dxa"/>
            </w:tcMar>
            <w:hideMark/>
          </w:tcPr>
          <w:p w14:paraId="7A0DD24D"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t>NIHR Portfolio study.  One accrual per practice participating.  (Individual patient accruals will not be recorded).</w:t>
            </w:r>
          </w:p>
        </w:tc>
      </w:tr>
      <w:tr w:rsidR="00F37F65" w:rsidRPr="00F37F65" w14:paraId="03234A6E" w14:textId="77777777" w:rsidTr="00F37F65">
        <w:tc>
          <w:tcPr>
            <w:tcW w:w="2556" w:type="dxa"/>
            <w:shd w:val="clear" w:color="auto" w:fill="DEEAF6"/>
            <w:tcMar>
              <w:top w:w="0" w:type="dxa"/>
              <w:left w:w="108" w:type="dxa"/>
              <w:bottom w:w="0" w:type="dxa"/>
              <w:right w:w="108" w:type="dxa"/>
            </w:tcMar>
            <w:hideMark/>
          </w:tcPr>
          <w:p w14:paraId="4D1302E4"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t>What is required of the practice:</w:t>
            </w:r>
          </w:p>
        </w:tc>
        <w:tc>
          <w:tcPr>
            <w:tcW w:w="6460" w:type="dxa"/>
            <w:tcMar>
              <w:top w:w="0" w:type="dxa"/>
              <w:left w:w="108" w:type="dxa"/>
              <w:bottom w:w="0" w:type="dxa"/>
              <w:right w:w="108" w:type="dxa"/>
            </w:tcMar>
            <w:hideMark/>
          </w:tcPr>
          <w:p w14:paraId="6D62CBDA" w14:textId="77777777" w:rsidR="00F37F65" w:rsidRPr="00F37F65" w:rsidRDefault="00F37F65" w:rsidP="00F37F65">
            <w:pPr>
              <w:numPr>
                <w:ilvl w:val="0"/>
                <w:numId w:val="5"/>
              </w:numPr>
              <w:tabs>
                <w:tab w:val="clear" w:pos="360"/>
                <w:tab w:val="num" w:pos="720"/>
              </w:tabs>
              <w:rPr>
                <w:rFonts w:asciiTheme="minorHAnsi" w:hAnsiTheme="minorHAnsi" w:cstheme="minorHAnsi"/>
              </w:rPr>
            </w:pPr>
            <w:r w:rsidRPr="00F37F65">
              <w:rPr>
                <w:rFonts w:asciiTheme="minorHAnsi" w:hAnsiTheme="minorHAnsi" w:cstheme="minorHAnsi"/>
              </w:rPr>
              <w:t>Sign data sharing agreement</w:t>
            </w:r>
          </w:p>
          <w:p w14:paraId="02336109" w14:textId="77777777" w:rsidR="00F37F65" w:rsidRPr="00F37F65" w:rsidRDefault="00F37F65" w:rsidP="00F37F65">
            <w:pPr>
              <w:numPr>
                <w:ilvl w:val="0"/>
                <w:numId w:val="5"/>
              </w:numPr>
              <w:tabs>
                <w:tab w:val="clear" w:pos="360"/>
                <w:tab w:val="num" w:pos="720"/>
              </w:tabs>
              <w:rPr>
                <w:rFonts w:asciiTheme="minorHAnsi" w:hAnsiTheme="minorHAnsi" w:cstheme="minorHAnsi"/>
              </w:rPr>
            </w:pPr>
            <w:r w:rsidRPr="00F37F65">
              <w:rPr>
                <w:rFonts w:asciiTheme="minorHAnsi" w:hAnsiTheme="minorHAnsi" w:cstheme="minorHAnsi"/>
              </w:rPr>
              <w:t>Enable smartcard access for NECS*</w:t>
            </w:r>
          </w:p>
          <w:p w14:paraId="081E4D0C" w14:textId="77777777" w:rsidR="00F37F65" w:rsidRPr="00F37F65" w:rsidRDefault="00F37F65" w:rsidP="00F37F65">
            <w:pPr>
              <w:numPr>
                <w:ilvl w:val="0"/>
                <w:numId w:val="5"/>
              </w:numPr>
              <w:tabs>
                <w:tab w:val="clear" w:pos="360"/>
                <w:tab w:val="num" w:pos="720"/>
              </w:tabs>
              <w:rPr>
                <w:rFonts w:asciiTheme="minorHAnsi" w:hAnsiTheme="minorHAnsi" w:cstheme="minorHAnsi"/>
              </w:rPr>
            </w:pPr>
            <w:r w:rsidRPr="00F37F65">
              <w:rPr>
                <w:rFonts w:asciiTheme="minorHAnsi" w:hAnsiTheme="minorHAnsi" w:cstheme="minorHAnsi"/>
              </w:rPr>
              <w:t>Display a poster about the study</w:t>
            </w:r>
          </w:p>
          <w:p w14:paraId="0D7E7060" w14:textId="77777777" w:rsidR="00F37F65" w:rsidRPr="00F37F65" w:rsidRDefault="00F37F65" w:rsidP="00F37F65">
            <w:pPr>
              <w:numPr>
                <w:ilvl w:val="0"/>
                <w:numId w:val="5"/>
              </w:numPr>
              <w:tabs>
                <w:tab w:val="clear" w:pos="360"/>
                <w:tab w:val="num" w:pos="720"/>
              </w:tabs>
              <w:rPr>
                <w:rFonts w:asciiTheme="minorHAnsi" w:hAnsiTheme="minorHAnsi" w:cstheme="minorHAnsi"/>
              </w:rPr>
            </w:pPr>
            <w:r w:rsidRPr="00F37F65">
              <w:rPr>
                <w:rFonts w:asciiTheme="minorHAnsi" w:hAnsiTheme="minorHAnsi" w:cstheme="minorHAnsi"/>
              </w:rPr>
              <w:t>Add information about the study to website (if possible)</w:t>
            </w:r>
          </w:p>
          <w:p w14:paraId="46A9C105" w14:textId="77777777" w:rsidR="00F37F65" w:rsidRPr="00F37F65" w:rsidRDefault="00F37F65" w:rsidP="00F37F65">
            <w:pPr>
              <w:numPr>
                <w:ilvl w:val="0"/>
                <w:numId w:val="5"/>
              </w:numPr>
              <w:tabs>
                <w:tab w:val="clear" w:pos="360"/>
                <w:tab w:val="num" w:pos="720"/>
              </w:tabs>
              <w:rPr>
                <w:rFonts w:asciiTheme="minorHAnsi" w:hAnsiTheme="minorHAnsi" w:cstheme="minorHAnsi"/>
              </w:rPr>
            </w:pPr>
            <w:r w:rsidRPr="00F37F65">
              <w:rPr>
                <w:rFonts w:asciiTheme="minorHAnsi" w:hAnsiTheme="minorHAnsi" w:cstheme="minorHAnsi"/>
              </w:rPr>
              <w:t>Add information about the study to prescription slips for 6 weeks (if possible)</w:t>
            </w:r>
          </w:p>
          <w:p w14:paraId="795EC992" w14:textId="77777777" w:rsidR="00F37F65" w:rsidRPr="00F37F65" w:rsidRDefault="00F37F65" w:rsidP="00F37F65">
            <w:pPr>
              <w:numPr>
                <w:ilvl w:val="0"/>
                <w:numId w:val="5"/>
              </w:numPr>
              <w:tabs>
                <w:tab w:val="clear" w:pos="360"/>
                <w:tab w:val="num" w:pos="720"/>
              </w:tabs>
              <w:rPr>
                <w:rFonts w:asciiTheme="minorHAnsi" w:hAnsiTheme="minorHAnsi" w:cstheme="minorHAnsi"/>
              </w:rPr>
            </w:pPr>
            <w:r w:rsidRPr="00F37F65">
              <w:rPr>
                <w:rFonts w:asciiTheme="minorHAnsi" w:hAnsiTheme="minorHAnsi" w:cstheme="minorHAnsi"/>
              </w:rPr>
              <w:t>Keep a record of patients who ask to be excluded from the study in response to the study information on the poster/website/prescription slips.</w:t>
            </w:r>
          </w:p>
          <w:p w14:paraId="4467EC03" w14:textId="77777777" w:rsidR="00F37F65" w:rsidRPr="00F37F65" w:rsidRDefault="00F37F65" w:rsidP="00F37F65">
            <w:pPr>
              <w:numPr>
                <w:ilvl w:val="0"/>
                <w:numId w:val="5"/>
              </w:numPr>
              <w:tabs>
                <w:tab w:val="clear" w:pos="360"/>
                <w:tab w:val="num" w:pos="720"/>
              </w:tabs>
              <w:rPr>
                <w:rFonts w:asciiTheme="minorHAnsi" w:hAnsiTheme="minorHAnsi" w:cstheme="minorHAnsi"/>
              </w:rPr>
            </w:pPr>
            <w:r w:rsidRPr="00F37F65">
              <w:rPr>
                <w:rFonts w:asciiTheme="minorHAnsi" w:hAnsiTheme="minorHAnsi" w:cstheme="minorHAnsi"/>
              </w:rPr>
              <w:t>Add a code to the clinical record for patients who ask to be excluded.  (Those who are part of the national data opt-out will automatically be excluded).</w:t>
            </w:r>
          </w:p>
          <w:p w14:paraId="61D6003C"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t> </w:t>
            </w:r>
          </w:p>
          <w:p w14:paraId="69D3F322"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t xml:space="preserve">*Patient data will be extracted from the clinical system by NHS North of England Care System Support (NECS). The data will be linked to NHSE Hospital Episode Statistics database and then pseudonymised (identifiers used for linkage removed) and uploaded to NECS Digital Secure Environment which will be accessed by two statisticians from the research team.  Appropriate approvals will be in place from the </w:t>
            </w:r>
            <w:hyperlink r:id="rId5" w:history="1">
              <w:r w:rsidRPr="00F37F65">
                <w:rPr>
                  <w:rStyle w:val="Hyperlink"/>
                  <w:rFonts w:asciiTheme="minorHAnsi" w:hAnsiTheme="minorHAnsi" w:cstheme="minorHAnsi"/>
                </w:rPr>
                <w:t>Health Research Authority (HRA) Confidentiality Advisory Group (CAG)</w:t>
              </w:r>
            </w:hyperlink>
            <w:r w:rsidRPr="00F37F65">
              <w:rPr>
                <w:rFonts w:asciiTheme="minorHAnsi" w:hAnsiTheme="minorHAnsi" w:cstheme="minorHAnsi"/>
              </w:rPr>
              <w:t xml:space="preserve"> and the </w:t>
            </w:r>
            <w:hyperlink r:id="rId6" w:history="1">
              <w:r w:rsidRPr="00F37F65">
                <w:rPr>
                  <w:rStyle w:val="Hyperlink"/>
                  <w:rFonts w:asciiTheme="minorHAnsi" w:hAnsiTheme="minorHAnsi" w:cstheme="minorHAnsi"/>
                </w:rPr>
                <w:t>Research Ethics Committee (REC)</w:t>
              </w:r>
            </w:hyperlink>
            <w:r w:rsidRPr="00F37F65">
              <w:rPr>
                <w:rFonts w:asciiTheme="minorHAnsi" w:hAnsiTheme="minorHAnsi" w:cstheme="minorHAnsi"/>
              </w:rPr>
              <w:t> to allow this.</w:t>
            </w:r>
          </w:p>
        </w:tc>
      </w:tr>
      <w:tr w:rsidR="00F37F65" w:rsidRPr="00F37F65" w14:paraId="507EC732" w14:textId="77777777" w:rsidTr="00F37F65">
        <w:tc>
          <w:tcPr>
            <w:tcW w:w="2556" w:type="dxa"/>
            <w:shd w:val="clear" w:color="auto" w:fill="DEEAF6"/>
            <w:tcMar>
              <w:top w:w="0" w:type="dxa"/>
              <w:left w:w="108" w:type="dxa"/>
              <w:bottom w:w="0" w:type="dxa"/>
              <w:right w:w="108" w:type="dxa"/>
            </w:tcMar>
            <w:hideMark/>
          </w:tcPr>
          <w:p w14:paraId="7BEB00B9"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lastRenderedPageBreak/>
              <w:t>Payments/support costs:</w:t>
            </w:r>
          </w:p>
        </w:tc>
        <w:tc>
          <w:tcPr>
            <w:tcW w:w="6460" w:type="dxa"/>
            <w:tcMar>
              <w:top w:w="0" w:type="dxa"/>
              <w:left w:w="108" w:type="dxa"/>
              <w:bottom w:w="0" w:type="dxa"/>
              <w:right w:w="108" w:type="dxa"/>
            </w:tcMar>
            <w:hideMark/>
          </w:tcPr>
          <w:p w14:paraId="0187C435"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t xml:space="preserve">Practices will receive a one-off research cost payment of </w:t>
            </w:r>
            <w:r w:rsidRPr="00F37F65">
              <w:rPr>
                <w:rFonts w:asciiTheme="minorHAnsi" w:hAnsiTheme="minorHAnsi" w:cstheme="minorHAnsi"/>
                <w:b/>
                <w:bCs/>
              </w:rPr>
              <w:t xml:space="preserve">£100 </w:t>
            </w:r>
            <w:r w:rsidRPr="00F37F65">
              <w:rPr>
                <w:rFonts w:asciiTheme="minorHAnsi" w:hAnsiTheme="minorHAnsi" w:cstheme="minorHAnsi"/>
              </w:rPr>
              <w:t xml:space="preserve">for taking part and a one-off service support cost of </w:t>
            </w:r>
            <w:r w:rsidRPr="00F37F65">
              <w:rPr>
                <w:rFonts w:asciiTheme="minorHAnsi" w:hAnsiTheme="minorHAnsi" w:cstheme="minorHAnsi"/>
                <w:b/>
                <w:bCs/>
              </w:rPr>
              <w:t xml:space="preserve">£18.00 </w:t>
            </w:r>
            <w:r w:rsidRPr="00F37F65">
              <w:rPr>
                <w:rFonts w:asciiTheme="minorHAnsi" w:hAnsiTheme="minorHAnsi" w:cstheme="minorHAnsi"/>
              </w:rPr>
              <w:t>for informed consent from practice manager.</w:t>
            </w:r>
          </w:p>
        </w:tc>
      </w:tr>
      <w:tr w:rsidR="00F37F65" w:rsidRPr="00F37F65" w14:paraId="66110C04" w14:textId="77777777" w:rsidTr="00F37F65">
        <w:tc>
          <w:tcPr>
            <w:tcW w:w="2556" w:type="dxa"/>
            <w:shd w:val="clear" w:color="auto" w:fill="DEEAF6"/>
            <w:tcMar>
              <w:top w:w="0" w:type="dxa"/>
              <w:left w:w="108" w:type="dxa"/>
              <w:bottom w:w="0" w:type="dxa"/>
              <w:right w:w="108" w:type="dxa"/>
            </w:tcMar>
            <w:hideMark/>
          </w:tcPr>
          <w:p w14:paraId="2AACADDF"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t>Benefits to patients and/or practice:</w:t>
            </w:r>
          </w:p>
        </w:tc>
        <w:tc>
          <w:tcPr>
            <w:tcW w:w="6460" w:type="dxa"/>
            <w:tcMar>
              <w:top w:w="0" w:type="dxa"/>
              <w:left w:w="108" w:type="dxa"/>
              <w:bottom w:w="0" w:type="dxa"/>
              <w:right w:w="108" w:type="dxa"/>
            </w:tcMar>
            <w:hideMark/>
          </w:tcPr>
          <w:p w14:paraId="3D9707BF"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t>Taking part in this project may be of educational benefit and an opportunity to reflect on clinical practice.  Findings from the study will be fed back to your practice if requested.  It may provide evidence for your NHS Appraisal, revalidation, continuing professional development or Care Quality Commission review.</w:t>
            </w:r>
          </w:p>
        </w:tc>
      </w:tr>
      <w:tr w:rsidR="00F37F65" w:rsidRPr="00F37F65" w14:paraId="2A9E35D3" w14:textId="77777777" w:rsidTr="00F37F65">
        <w:tc>
          <w:tcPr>
            <w:tcW w:w="2556" w:type="dxa"/>
            <w:shd w:val="clear" w:color="auto" w:fill="DEEAF6"/>
            <w:tcMar>
              <w:top w:w="0" w:type="dxa"/>
              <w:left w:w="108" w:type="dxa"/>
              <w:bottom w:w="0" w:type="dxa"/>
              <w:right w:w="108" w:type="dxa"/>
            </w:tcMar>
            <w:hideMark/>
          </w:tcPr>
          <w:p w14:paraId="3706E94B"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t>Commercial/Non-commercial study?</w:t>
            </w:r>
          </w:p>
        </w:tc>
        <w:tc>
          <w:tcPr>
            <w:tcW w:w="6460" w:type="dxa"/>
            <w:tcMar>
              <w:top w:w="0" w:type="dxa"/>
              <w:left w:w="108" w:type="dxa"/>
              <w:bottom w:w="0" w:type="dxa"/>
              <w:right w:w="108" w:type="dxa"/>
            </w:tcMar>
            <w:hideMark/>
          </w:tcPr>
          <w:p w14:paraId="1F30B50B"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t>Non-commercial</w:t>
            </w:r>
          </w:p>
        </w:tc>
      </w:tr>
      <w:tr w:rsidR="00F37F65" w:rsidRPr="00F37F65" w14:paraId="5F01AC2A" w14:textId="77777777" w:rsidTr="00F37F65">
        <w:tc>
          <w:tcPr>
            <w:tcW w:w="2556" w:type="dxa"/>
            <w:shd w:val="clear" w:color="auto" w:fill="DEEAF6"/>
            <w:tcMar>
              <w:top w:w="0" w:type="dxa"/>
              <w:left w:w="108" w:type="dxa"/>
              <w:bottom w:w="0" w:type="dxa"/>
              <w:right w:w="108" w:type="dxa"/>
            </w:tcMar>
            <w:hideMark/>
          </w:tcPr>
          <w:p w14:paraId="1283966E"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t>Please contact:</w:t>
            </w:r>
          </w:p>
        </w:tc>
        <w:tc>
          <w:tcPr>
            <w:tcW w:w="6460" w:type="dxa"/>
            <w:tcMar>
              <w:top w:w="0" w:type="dxa"/>
              <w:left w:w="108" w:type="dxa"/>
              <w:bottom w:w="0" w:type="dxa"/>
              <w:right w:w="108" w:type="dxa"/>
            </w:tcMar>
            <w:hideMark/>
          </w:tcPr>
          <w:p w14:paraId="5D2EA4F8" w14:textId="77777777" w:rsidR="00F37F65" w:rsidRPr="00F37F65" w:rsidRDefault="00F37F65" w:rsidP="00F37F65">
            <w:pPr>
              <w:rPr>
                <w:rFonts w:asciiTheme="minorHAnsi" w:hAnsiTheme="minorHAnsi" w:cstheme="minorHAnsi"/>
              </w:rPr>
            </w:pPr>
            <w:bookmarkStart w:id="0" w:name="x_x_x__Hlk196404196"/>
            <w:r w:rsidRPr="00F37F65">
              <w:rPr>
                <w:rFonts w:asciiTheme="minorHAnsi" w:hAnsiTheme="minorHAnsi" w:cstheme="minorHAnsi"/>
              </w:rPr>
              <w:t xml:space="preserve">Bethan Copsey: </w:t>
            </w:r>
            <w:bookmarkEnd w:id="0"/>
            <w:r w:rsidRPr="00F37F65">
              <w:rPr>
                <w:rFonts w:asciiTheme="minorHAnsi" w:hAnsiTheme="minorHAnsi" w:cstheme="minorHAnsi"/>
                <w:u w:val="single"/>
              </w:rPr>
              <w:fldChar w:fldCharType="begin"/>
            </w:r>
            <w:r w:rsidRPr="00F37F65">
              <w:rPr>
                <w:rFonts w:asciiTheme="minorHAnsi" w:hAnsiTheme="minorHAnsi" w:cstheme="minorHAnsi"/>
                <w:u w:val="single"/>
              </w:rPr>
              <w:instrText>HYPERLINK "mailto:B.Copsey@leeds.ac.uk"</w:instrText>
            </w:r>
            <w:r w:rsidRPr="00F37F65">
              <w:rPr>
                <w:rFonts w:asciiTheme="minorHAnsi" w:hAnsiTheme="minorHAnsi" w:cstheme="minorHAnsi"/>
                <w:u w:val="single"/>
              </w:rPr>
            </w:r>
            <w:r w:rsidRPr="00F37F65">
              <w:rPr>
                <w:rFonts w:asciiTheme="minorHAnsi" w:hAnsiTheme="minorHAnsi" w:cstheme="minorHAnsi"/>
                <w:u w:val="single"/>
              </w:rPr>
              <w:fldChar w:fldCharType="separate"/>
            </w:r>
            <w:r w:rsidRPr="00F37F65">
              <w:rPr>
                <w:rStyle w:val="Hyperlink"/>
                <w:rFonts w:asciiTheme="minorHAnsi" w:hAnsiTheme="minorHAnsi" w:cstheme="minorHAnsi"/>
              </w:rPr>
              <w:t>B.Copsey@leeds.ac.uk</w:t>
            </w:r>
            <w:r w:rsidRPr="00F37F65">
              <w:rPr>
                <w:rFonts w:asciiTheme="minorHAnsi" w:hAnsiTheme="minorHAnsi" w:cstheme="minorHAnsi"/>
              </w:rPr>
              <w:fldChar w:fldCharType="end"/>
            </w:r>
          </w:p>
          <w:p w14:paraId="617BA1F9"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t> </w:t>
            </w:r>
          </w:p>
        </w:tc>
      </w:tr>
      <w:tr w:rsidR="00F37F65" w:rsidRPr="00F37F65" w14:paraId="395426CE" w14:textId="77777777" w:rsidTr="00F37F65">
        <w:tc>
          <w:tcPr>
            <w:tcW w:w="2556" w:type="dxa"/>
            <w:shd w:val="clear" w:color="auto" w:fill="DEEAF6"/>
            <w:tcMar>
              <w:top w:w="0" w:type="dxa"/>
              <w:left w:w="108" w:type="dxa"/>
              <w:bottom w:w="0" w:type="dxa"/>
              <w:right w:w="108" w:type="dxa"/>
            </w:tcMar>
            <w:hideMark/>
          </w:tcPr>
          <w:p w14:paraId="5E36B7E0"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t>Deadline for response:</w:t>
            </w:r>
          </w:p>
        </w:tc>
        <w:tc>
          <w:tcPr>
            <w:tcW w:w="6460" w:type="dxa"/>
            <w:tcMar>
              <w:top w:w="0" w:type="dxa"/>
              <w:left w:w="108" w:type="dxa"/>
              <w:bottom w:w="0" w:type="dxa"/>
              <w:right w:w="108" w:type="dxa"/>
            </w:tcMar>
            <w:hideMark/>
          </w:tcPr>
          <w:p w14:paraId="7438E670" w14:textId="40C26BBA" w:rsidR="00F37F65" w:rsidRPr="00F37F65" w:rsidRDefault="00F37F65" w:rsidP="00F37F65">
            <w:pPr>
              <w:rPr>
                <w:rFonts w:asciiTheme="minorHAnsi" w:hAnsiTheme="minorHAnsi" w:cstheme="minorHAnsi"/>
              </w:rPr>
            </w:pPr>
            <w:r>
              <w:rPr>
                <w:rFonts w:asciiTheme="minorHAnsi" w:hAnsiTheme="minorHAnsi" w:cstheme="minorHAnsi"/>
              </w:rPr>
              <w:t>31</w:t>
            </w:r>
            <w:r w:rsidRPr="00F37F65">
              <w:rPr>
                <w:rFonts w:asciiTheme="minorHAnsi" w:hAnsiTheme="minorHAnsi" w:cstheme="minorHAnsi"/>
                <w:vertAlign w:val="superscript"/>
              </w:rPr>
              <w:t>st</w:t>
            </w:r>
            <w:r>
              <w:rPr>
                <w:rFonts w:asciiTheme="minorHAnsi" w:hAnsiTheme="minorHAnsi" w:cstheme="minorHAnsi"/>
              </w:rPr>
              <w:t xml:space="preserve"> </w:t>
            </w:r>
            <w:r w:rsidRPr="00F37F65">
              <w:rPr>
                <w:rFonts w:asciiTheme="minorHAnsi" w:hAnsiTheme="minorHAnsi" w:cstheme="minorHAnsi"/>
              </w:rPr>
              <w:t>October 2025</w:t>
            </w:r>
          </w:p>
          <w:p w14:paraId="45ED3D44" w14:textId="77777777" w:rsidR="00F37F65" w:rsidRPr="00F37F65" w:rsidRDefault="00F37F65" w:rsidP="00F37F65">
            <w:pPr>
              <w:rPr>
                <w:rFonts w:asciiTheme="minorHAnsi" w:hAnsiTheme="minorHAnsi" w:cstheme="minorHAnsi"/>
              </w:rPr>
            </w:pPr>
            <w:r w:rsidRPr="00F37F65">
              <w:rPr>
                <w:rFonts w:asciiTheme="minorHAnsi" w:hAnsiTheme="minorHAnsi" w:cstheme="minorHAnsi"/>
              </w:rPr>
              <w:t> </w:t>
            </w:r>
          </w:p>
        </w:tc>
      </w:tr>
    </w:tbl>
    <w:p w14:paraId="5C3DD0C6" w14:textId="77777777" w:rsidR="00F37F65" w:rsidRPr="00CF4281" w:rsidRDefault="00F37F65">
      <w:pPr>
        <w:rPr>
          <w:rFonts w:asciiTheme="minorHAnsi" w:hAnsiTheme="minorHAnsi" w:cstheme="minorHAnsi"/>
        </w:rPr>
      </w:pPr>
    </w:p>
    <w:sectPr w:rsidR="00F37F65" w:rsidRPr="00CF42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6294"/>
    <w:multiLevelType w:val="multilevel"/>
    <w:tmpl w:val="28D6FE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8CB001F"/>
    <w:multiLevelType w:val="multilevel"/>
    <w:tmpl w:val="92846B7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AB00C05"/>
    <w:multiLevelType w:val="multilevel"/>
    <w:tmpl w:val="AEEE6A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501F0DA7"/>
    <w:multiLevelType w:val="multilevel"/>
    <w:tmpl w:val="0574B6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E1E2741"/>
    <w:multiLevelType w:val="multilevel"/>
    <w:tmpl w:val="344230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267351260">
    <w:abstractNumId w:val="3"/>
  </w:num>
  <w:num w:numId="2" w16cid:durableId="668603299">
    <w:abstractNumId w:val="4"/>
  </w:num>
  <w:num w:numId="3" w16cid:durableId="538978773">
    <w:abstractNumId w:val="1"/>
  </w:num>
  <w:num w:numId="4" w16cid:durableId="1784376515">
    <w:abstractNumId w:val="0"/>
  </w:num>
  <w:num w:numId="5" w16cid:durableId="485320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A9"/>
    <w:rsid w:val="000D4621"/>
    <w:rsid w:val="000F03A2"/>
    <w:rsid w:val="001903A9"/>
    <w:rsid w:val="002A78FA"/>
    <w:rsid w:val="002C751F"/>
    <w:rsid w:val="00481904"/>
    <w:rsid w:val="004A3639"/>
    <w:rsid w:val="004B5A6B"/>
    <w:rsid w:val="00574454"/>
    <w:rsid w:val="005B4866"/>
    <w:rsid w:val="005C006B"/>
    <w:rsid w:val="005E67FE"/>
    <w:rsid w:val="006F5646"/>
    <w:rsid w:val="00725D56"/>
    <w:rsid w:val="00903BF3"/>
    <w:rsid w:val="0094238E"/>
    <w:rsid w:val="009B7933"/>
    <w:rsid w:val="009C4A7C"/>
    <w:rsid w:val="009D35D1"/>
    <w:rsid w:val="009D5C3D"/>
    <w:rsid w:val="00A849E0"/>
    <w:rsid w:val="00B14C35"/>
    <w:rsid w:val="00CF4281"/>
    <w:rsid w:val="00DA3328"/>
    <w:rsid w:val="00E9364B"/>
    <w:rsid w:val="00F37F65"/>
    <w:rsid w:val="00F853D4"/>
    <w:rsid w:val="00FA2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8CBB"/>
  <w15:chartTrackingRefBased/>
  <w15:docId w15:val="{6E1D0E78-170E-4CC8-92AC-68F68BC4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933"/>
    <w:pPr>
      <w:spacing w:after="0" w:line="240" w:lineRule="auto"/>
    </w:pPr>
    <w:rPr>
      <w:rFonts w:ascii="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79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4454"/>
    <w:rPr>
      <w:color w:val="0563C1" w:themeColor="hyperlink"/>
      <w:u w:val="single"/>
    </w:rPr>
  </w:style>
  <w:style w:type="character" w:styleId="UnresolvedMention">
    <w:name w:val="Unresolved Mention"/>
    <w:basedOn w:val="DefaultParagraphFont"/>
    <w:uiPriority w:val="99"/>
    <w:semiHidden/>
    <w:unhideWhenUsed/>
    <w:rsid w:val="004A3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7187">
      <w:bodyDiv w:val="1"/>
      <w:marLeft w:val="0"/>
      <w:marRight w:val="0"/>
      <w:marTop w:val="0"/>
      <w:marBottom w:val="0"/>
      <w:divBdr>
        <w:top w:val="none" w:sz="0" w:space="0" w:color="auto"/>
        <w:left w:val="none" w:sz="0" w:space="0" w:color="auto"/>
        <w:bottom w:val="none" w:sz="0" w:space="0" w:color="auto"/>
        <w:right w:val="none" w:sz="0" w:space="0" w:color="auto"/>
      </w:divBdr>
    </w:div>
    <w:div w:id="187303424">
      <w:bodyDiv w:val="1"/>
      <w:marLeft w:val="0"/>
      <w:marRight w:val="0"/>
      <w:marTop w:val="0"/>
      <w:marBottom w:val="0"/>
      <w:divBdr>
        <w:top w:val="none" w:sz="0" w:space="0" w:color="auto"/>
        <w:left w:val="none" w:sz="0" w:space="0" w:color="auto"/>
        <w:bottom w:val="none" w:sz="0" w:space="0" w:color="auto"/>
        <w:right w:val="none" w:sz="0" w:space="0" w:color="auto"/>
      </w:divBdr>
    </w:div>
    <w:div w:id="880822160">
      <w:bodyDiv w:val="1"/>
      <w:marLeft w:val="0"/>
      <w:marRight w:val="0"/>
      <w:marTop w:val="0"/>
      <w:marBottom w:val="0"/>
      <w:divBdr>
        <w:top w:val="none" w:sz="0" w:space="0" w:color="auto"/>
        <w:left w:val="none" w:sz="0" w:space="0" w:color="auto"/>
        <w:bottom w:val="none" w:sz="0" w:space="0" w:color="auto"/>
        <w:right w:val="none" w:sz="0" w:space="0" w:color="auto"/>
      </w:divBdr>
    </w:div>
    <w:div w:id="1211575431">
      <w:bodyDiv w:val="1"/>
      <w:marLeft w:val="0"/>
      <w:marRight w:val="0"/>
      <w:marTop w:val="0"/>
      <w:marBottom w:val="0"/>
      <w:divBdr>
        <w:top w:val="none" w:sz="0" w:space="0" w:color="auto"/>
        <w:left w:val="none" w:sz="0" w:space="0" w:color="auto"/>
        <w:bottom w:val="none" w:sz="0" w:space="0" w:color="auto"/>
        <w:right w:val="none" w:sz="0" w:space="0" w:color="auto"/>
      </w:divBdr>
    </w:div>
    <w:div w:id="1290282478">
      <w:bodyDiv w:val="1"/>
      <w:marLeft w:val="0"/>
      <w:marRight w:val="0"/>
      <w:marTop w:val="0"/>
      <w:marBottom w:val="0"/>
      <w:divBdr>
        <w:top w:val="none" w:sz="0" w:space="0" w:color="auto"/>
        <w:left w:val="none" w:sz="0" w:space="0" w:color="auto"/>
        <w:bottom w:val="none" w:sz="0" w:space="0" w:color="auto"/>
        <w:right w:val="none" w:sz="0" w:space="0" w:color="auto"/>
      </w:divBdr>
    </w:div>
    <w:div w:id="165761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ra.nhs.uk/about-us/committees-and-services/res-and-recs/" TargetMode="External"/><Relationship Id="rId5" Type="http://schemas.openxmlformats.org/officeDocument/2006/relationships/hyperlink" Target="https://www.hra.nhs.uk/about-us/committees-and-services/confidentiality-advisory-grou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Damian</dc:creator>
  <cp:keywords/>
  <dc:description/>
  <cp:lastModifiedBy>Reynolds Damian</cp:lastModifiedBy>
  <cp:revision>4</cp:revision>
  <dcterms:created xsi:type="dcterms:W3CDTF">2025-10-07T08:51:00Z</dcterms:created>
  <dcterms:modified xsi:type="dcterms:W3CDTF">2025-10-07T08:53:00Z</dcterms:modified>
</cp:coreProperties>
</file>